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6AAE6" w14:textId="77777777" w:rsidR="00C27B23" w:rsidRPr="00DB6DA9" w:rsidRDefault="0048249A" w:rsidP="00DB6DA9">
      <w:pPr>
        <w:pStyle w:val="Titolo"/>
      </w:pPr>
      <w:r w:rsidRPr="00DB6DA9">
        <w:t xml:space="preserve">Scheda di sintesi sulla rilevazione degli OIV o </w:t>
      </w:r>
      <w:r w:rsidR="009A5646" w:rsidRPr="00DB6DA9">
        <w:t>organismi con funzioni analoghe</w:t>
      </w:r>
    </w:p>
    <w:p w14:paraId="431723BA" w14:textId="77777777" w:rsidR="00C27B23" w:rsidRPr="0041405A" w:rsidRDefault="00C27B23" w:rsidP="00FB337C">
      <w:pPr>
        <w:pStyle w:val="Paragrafoelenco"/>
        <w:spacing w:after="0" w:line="240" w:lineRule="auto"/>
        <w:ind w:left="0" w:firstLine="0"/>
        <w:rPr>
          <w:rFonts w:ascii="Titillium" w:hAnsi="Titillium"/>
          <w:sz w:val="20"/>
          <w:szCs w:val="20"/>
        </w:rPr>
      </w:pPr>
    </w:p>
    <w:p w14:paraId="69C27F2B" w14:textId="77777777" w:rsidR="00C27B23" w:rsidRPr="00DB6DA9" w:rsidRDefault="0048249A" w:rsidP="00FB337C">
      <w:pPr>
        <w:pStyle w:val="Paragrafoelenco"/>
        <w:spacing w:after="0" w:line="240" w:lineRule="auto"/>
        <w:ind w:left="0" w:firstLine="0"/>
        <w:rPr>
          <w:rFonts w:ascii="Titillium" w:hAnsi="Titillium"/>
          <w:b/>
          <w:i/>
          <w:sz w:val="22"/>
          <w:szCs w:val="22"/>
        </w:rPr>
      </w:pPr>
      <w:r w:rsidRPr="00DB6DA9">
        <w:rPr>
          <w:rFonts w:ascii="Titillium" w:hAnsi="Titillium"/>
          <w:b/>
          <w:i/>
          <w:sz w:val="22"/>
          <w:szCs w:val="22"/>
        </w:rPr>
        <w:t>Data di svolgimento della rilevazione</w:t>
      </w:r>
    </w:p>
    <w:p w14:paraId="05914F19" w14:textId="5436B182" w:rsidR="00B15171" w:rsidRDefault="00B15171" w:rsidP="00FB337C">
      <w:pPr>
        <w:pStyle w:val="Paragrafoelenco"/>
        <w:spacing w:after="0" w:line="240" w:lineRule="auto"/>
        <w:ind w:left="0" w:firstLine="0"/>
        <w:rPr>
          <w:rFonts w:ascii="Titillium" w:hAnsi="Titillium"/>
          <w:sz w:val="20"/>
          <w:szCs w:val="20"/>
        </w:rPr>
      </w:pPr>
      <w:r w:rsidRPr="00B15171">
        <w:rPr>
          <w:rFonts w:ascii="Titillium" w:hAnsi="Titillium"/>
          <w:sz w:val="20"/>
          <w:szCs w:val="20"/>
        </w:rPr>
        <w:t xml:space="preserve">La rilevazione si è svolta nel periodo dal </w:t>
      </w:r>
      <w:r w:rsidR="00DB6DA9">
        <w:rPr>
          <w:rFonts w:ascii="Titillium" w:hAnsi="Titillium"/>
          <w:sz w:val="20"/>
          <w:szCs w:val="20"/>
        </w:rPr>
        <w:t>01</w:t>
      </w:r>
      <w:r w:rsidRPr="00B15171">
        <w:rPr>
          <w:rFonts w:ascii="Titillium" w:hAnsi="Titillium"/>
          <w:sz w:val="20"/>
          <w:szCs w:val="20"/>
        </w:rPr>
        <w:t>/</w:t>
      </w:r>
      <w:r w:rsidR="00DB6DA9">
        <w:rPr>
          <w:rFonts w:ascii="Titillium" w:hAnsi="Titillium"/>
          <w:sz w:val="20"/>
          <w:szCs w:val="20"/>
        </w:rPr>
        <w:t>05</w:t>
      </w:r>
      <w:r w:rsidRPr="00B15171">
        <w:rPr>
          <w:rFonts w:ascii="Titillium" w:hAnsi="Titillium"/>
          <w:sz w:val="20"/>
          <w:szCs w:val="20"/>
        </w:rPr>
        <w:t>/</w:t>
      </w:r>
      <w:r w:rsidR="00DB6DA9">
        <w:rPr>
          <w:rFonts w:ascii="Titillium" w:hAnsi="Titillium"/>
          <w:sz w:val="20"/>
          <w:szCs w:val="20"/>
        </w:rPr>
        <w:t>2022</w:t>
      </w:r>
      <w:r w:rsidRPr="00B15171">
        <w:rPr>
          <w:rFonts w:ascii="Titillium" w:hAnsi="Titillium"/>
          <w:sz w:val="20"/>
          <w:szCs w:val="20"/>
        </w:rPr>
        <w:t xml:space="preserve"> al </w:t>
      </w:r>
      <w:r w:rsidR="00135C6A">
        <w:rPr>
          <w:rFonts w:ascii="Titillium" w:hAnsi="Titillium"/>
          <w:sz w:val="20"/>
          <w:szCs w:val="20"/>
        </w:rPr>
        <w:t>31</w:t>
      </w:r>
      <w:r w:rsidRPr="00B15171">
        <w:rPr>
          <w:rFonts w:ascii="Titillium" w:hAnsi="Titillium"/>
          <w:sz w:val="20"/>
          <w:szCs w:val="20"/>
        </w:rPr>
        <w:t>/</w:t>
      </w:r>
      <w:r w:rsidR="00135C6A">
        <w:rPr>
          <w:rFonts w:ascii="Titillium" w:hAnsi="Titillium"/>
          <w:sz w:val="20"/>
          <w:szCs w:val="20"/>
        </w:rPr>
        <w:t>05</w:t>
      </w:r>
      <w:r w:rsidRPr="00B15171">
        <w:rPr>
          <w:rFonts w:ascii="Titillium" w:hAnsi="Titillium"/>
          <w:sz w:val="20"/>
          <w:szCs w:val="20"/>
        </w:rPr>
        <w:t>/</w:t>
      </w:r>
      <w:r w:rsidR="00DB6DA9">
        <w:rPr>
          <w:rFonts w:ascii="Titillium" w:hAnsi="Titillium"/>
          <w:sz w:val="20"/>
          <w:szCs w:val="20"/>
        </w:rPr>
        <w:t>2022</w:t>
      </w:r>
      <w:r w:rsidRPr="00B15171">
        <w:rPr>
          <w:rFonts w:ascii="Titillium" w:hAnsi="Titillium"/>
          <w:sz w:val="20"/>
          <w:szCs w:val="20"/>
        </w:rPr>
        <w:t>.</w:t>
      </w:r>
    </w:p>
    <w:p w14:paraId="6B102D98" w14:textId="77777777" w:rsidR="00C27B23" w:rsidRPr="0041405A" w:rsidRDefault="00C27B23" w:rsidP="00FB337C">
      <w:pPr>
        <w:pStyle w:val="Paragrafoelenco"/>
        <w:spacing w:after="0" w:line="240" w:lineRule="auto"/>
        <w:ind w:left="0" w:firstLine="0"/>
        <w:rPr>
          <w:rFonts w:ascii="Titillium" w:hAnsi="Titillium"/>
          <w:sz w:val="20"/>
          <w:szCs w:val="20"/>
        </w:rPr>
      </w:pPr>
    </w:p>
    <w:p w14:paraId="66B20F1C" w14:textId="77777777" w:rsidR="00C27B23" w:rsidRPr="00DB6DA9" w:rsidRDefault="0048249A" w:rsidP="00FB337C">
      <w:pPr>
        <w:pStyle w:val="Paragrafoelenco"/>
        <w:spacing w:after="0" w:line="240" w:lineRule="auto"/>
        <w:ind w:left="0" w:firstLine="0"/>
        <w:rPr>
          <w:rFonts w:ascii="Titillium" w:hAnsi="Titillium"/>
          <w:b/>
          <w:i/>
          <w:sz w:val="22"/>
          <w:szCs w:val="22"/>
        </w:rPr>
      </w:pPr>
      <w:r w:rsidRPr="00DB6DA9">
        <w:rPr>
          <w:rFonts w:ascii="Titillium" w:hAnsi="Titillium"/>
          <w:b/>
          <w:i/>
          <w:sz w:val="22"/>
          <w:szCs w:val="22"/>
        </w:rPr>
        <w:t xml:space="preserve">Estensione della rilevazione (nel </w:t>
      </w:r>
      <w:r w:rsidR="00FC7906" w:rsidRPr="00DB6DA9">
        <w:rPr>
          <w:rFonts w:ascii="Titillium" w:hAnsi="Titillium"/>
          <w:b/>
          <w:i/>
          <w:sz w:val="22"/>
          <w:szCs w:val="22"/>
        </w:rPr>
        <w:t xml:space="preserve">solo </w:t>
      </w:r>
      <w:r w:rsidRPr="00DB6DA9">
        <w:rPr>
          <w:rFonts w:ascii="Titillium" w:hAnsi="Titillium"/>
          <w:b/>
          <w:i/>
          <w:sz w:val="22"/>
          <w:szCs w:val="22"/>
        </w:rPr>
        <w:t>caso di ammin</w:t>
      </w:r>
      <w:r w:rsidR="007A107C" w:rsidRPr="00DB6DA9">
        <w:rPr>
          <w:rFonts w:ascii="Titillium" w:hAnsi="Titillium"/>
          <w:b/>
          <w:i/>
          <w:sz w:val="22"/>
          <w:szCs w:val="22"/>
        </w:rPr>
        <w:t>istrazioni</w:t>
      </w:r>
      <w:r w:rsidR="00FC7906" w:rsidRPr="00DB6DA9">
        <w:rPr>
          <w:rFonts w:ascii="Titillium" w:hAnsi="Titillium"/>
          <w:b/>
          <w:i/>
          <w:sz w:val="22"/>
          <w:szCs w:val="22"/>
        </w:rPr>
        <w:t>/enti</w:t>
      </w:r>
      <w:r w:rsidR="007A107C" w:rsidRPr="00DB6DA9">
        <w:rPr>
          <w:rFonts w:ascii="Titillium" w:hAnsi="Titillium"/>
          <w:b/>
          <w:i/>
          <w:sz w:val="22"/>
          <w:szCs w:val="22"/>
        </w:rPr>
        <w:t xml:space="preserve"> con uffici periferici)</w:t>
      </w:r>
    </w:p>
    <w:p w14:paraId="47A65B54" w14:textId="77777777" w:rsidR="00B15171" w:rsidRDefault="00B15171" w:rsidP="00FB337C">
      <w:pPr>
        <w:pStyle w:val="Paragrafoelenco"/>
        <w:spacing w:after="0" w:line="240" w:lineRule="auto"/>
        <w:ind w:left="0" w:firstLine="0"/>
        <w:rPr>
          <w:rFonts w:ascii="Titillium" w:hAnsi="Titillium"/>
          <w:sz w:val="20"/>
          <w:szCs w:val="20"/>
        </w:rPr>
      </w:pPr>
      <w:r w:rsidRPr="00B15171">
        <w:rPr>
          <w:rFonts w:ascii="Titillium" w:hAnsi="Titillium"/>
          <w:sz w:val="20"/>
          <w:szCs w:val="20"/>
        </w:rPr>
        <w:t>Nessun ufficio periferico.</w:t>
      </w:r>
    </w:p>
    <w:p w14:paraId="6134E999" w14:textId="77777777" w:rsidR="00C27B23" w:rsidRPr="0041405A" w:rsidRDefault="00C27B23" w:rsidP="00FB337C">
      <w:pPr>
        <w:pStyle w:val="Paragrafoelenco"/>
        <w:spacing w:after="0" w:line="240" w:lineRule="auto"/>
        <w:ind w:left="720" w:firstLine="0"/>
        <w:rPr>
          <w:rFonts w:ascii="Titillium" w:hAnsi="Titillium"/>
          <w:sz w:val="20"/>
          <w:szCs w:val="20"/>
        </w:rPr>
      </w:pPr>
    </w:p>
    <w:p w14:paraId="45F28F1D" w14:textId="77777777" w:rsidR="00C27B23" w:rsidRPr="00DB6DA9" w:rsidRDefault="0048249A" w:rsidP="00FB337C">
      <w:pPr>
        <w:pStyle w:val="Paragrafoelenco"/>
        <w:spacing w:after="0" w:line="240" w:lineRule="auto"/>
        <w:ind w:left="0" w:firstLine="0"/>
        <w:rPr>
          <w:rFonts w:ascii="Titillium" w:hAnsi="Titillium"/>
          <w:b/>
          <w:i/>
          <w:sz w:val="22"/>
          <w:szCs w:val="22"/>
        </w:rPr>
      </w:pPr>
      <w:r w:rsidRPr="00DB6DA9">
        <w:rPr>
          <w:rFonts w:ascii="Titillium" w:hAnsi="Titillium"/>
          <w:b/>
          <w:i/>
          <w:sz w:val="22"/>
          <w:szCs w:val="22"/>
        </w:rPr>
        <w:t xml:space="preserve">Procedure e modalità seguite per la rilevazione </w:t>
      </w:r>
    </w:p>
    <w:p w14:paraId="4AE759AF" w14:textId="77777777" w:rsidR="00B15171" w:rsidRDefault="00B15171" w:rsidP="00FB337C">
      <w:pPr>
        <w:pStyle w:val="Paragrafoelenco"/>
        <w:spacing w:after="0" w:line="240" w:lineRule="auto"/>
        <w:ind w:left="0" w:firstLine="0"/>
        <w:rPr>
          <w:rFonts w:ascii="Titillium" w:hAnsi="Titillium"/>
          <w:sz w:val="20"/>
          <w:szCs w:val="20"/>
        </w:rPr>
      </w:pPr>
      <w:r w:rsidRPr="00B15171">
        <w:rPr>
          <w:rFonts w:ascii="Titillium" w:hAnsi="Titillium"/>
          <w:sz w:val="20"/>
          <w:szCs w:val="20"/>
        </w:rPr>
        <w:t xml:space="preserve">Il Segretario Comunale </w:t>
      </w:r>
      <w:r>
        <w:rPr>
          <w:rFonts w:ascii="Titillium" w:hAnsi="Titillium"/>
          <w:sz w:val="20"/>
          <w:szCs w:val="20"/>
        </w:rPr>
        <w:t>Dott. Claudio Baldessari</w:t>
      </w:r>
      <w:r w:rsidRPr="00B15171">
        <w:rPr>
          <w:rFonts w:ascii="Titillium" w:hAnsi="Titillium"/>
          <w:sz w:val="20"/>
          <w:szCs w:val="20"/>
        </w:rPr>
        <w:t xml:space="preserve"> (nominat</w:t>
      </w:r>
      <w:r>
        <w:rPr>
          <w:rFonts w:ascii="Titillium" w:hAnsi="Titillium"/>
          <w:sz w:val="20"/>
          <w:szCs w:val="20"/>
        </w:rPr>
        <w:t>o</w:t>
      </w:r>
      <w:r w:rsidRPr="00B15171">
        <w:rPr>
          <w:rFonts w:ascii="Titillium" w:hAnsi="Titillium"/>
          <w:sz w:val="20"/>
          <w:szCs w:val="20"/>
        </w:rPr>
        <w:t xml:space="preserve"> con decreto sindacale n. </w:t>
      </w:r>
      <w:r>
        <w:rPr>
          <w:rFonts w:ascii="Titillium" w:hAnsi="Titillium"/>
          <w:sz w:val="20"/>
          <w:szCs w:val="20"/>
        </w:rPr>
        <w:t>8</w:t>
      </w:r>
      <w:r w:rsidRPr="00B15171">
        <w:rPr>
          <w:rFonts w:ascii="Titillium" w:hAnsi="Titillium"/>
          <w:sz w:val="20"/>
          <w:szCs w:val="20"/>
        </w:rPr>
        <w:t>/</w:t>
      </w:r>
      <w:r>
        <w:rPr>
          <w:rFonts w:ascii="Titillium" w:hAnsi="Titillium"/>
          <w:sz w:val="20"/>
          <w:szCs w:val="20"/>
        </w:rPr>
        <w:t>2021</w:t>
      </w:r>
      <w:r w:rsidRPr="00B15171">
        <w:rPr>
          <w:rFonts w:ascii="Titillium" w:hAnsi="Titillium"/>
          <w:sz w:val="20"/>
          <w:szCs w:val="20"/>
        </w:rPr>
        <w:t xml:space="preserve"> Responsabile per la prevenzione della corruzione e per la trasparenza del Comune di Predaia)</w:t>
      </w:r>
      <w:r>
        <w:rPr>
          <w:rFonts w:ascii="Titillium" w:hAnsi="Titillium"/>
          <w:sz w:val="20"/>
          <w:szCs w:val="20"/>
        </w:rPr>
        <w:t xml:space="preserve"> </w:t>
      </w:r>
      <w:r w:rsidRPr="00B15171">
        <w:rPr>
          <w:rFonts w:ascii="Titillium" w:hAnsi="Titillium"/>
          <w:sz w:val="20"/>
          <w:szCs w:val="20"/>
        </w:rPr>
        <w:t>ha svolto, nell’arco temporale sopra indicato, le necessarie attività di verifica al fine di riscontrare l’adempimento degli obblighi di pubblicazione, tra cui in particolare:</w:t>
      </w:r>
    </w:p>
    <w:p w14:paraId="76819397" w14:textId="77777777" w:rsidR="00B15171" w:rsidRDefault="00B15171" w:rsidP="00FB337C">
      <w:pPr>
        <w:pStyle w:val="Paragrafoelenco"/>
        <w:numPr>
          <w:ilvl w:val="0"/>
          <w:numId w:val="5"/>
        </w:numPr>
        <w:spacing w:after="0" w:line="240" w:lineRule="auto"/>
        <w:rPr>
          <w:rFonts w:ascii="Titillium" w:hAnsi="Titillium"/>
          <w:sz w:val="20"/>
          <w:szCs w:val="20"/>
        </w:rPr>
      </w:pPr>
      <w:r w:rsidRPr="00B15171">
        <w:rPr>
          <w:rFonts w:ascii="Titillium" w:hAnsi="Titillium"/>
          <w:sz w:val="20"/>
          <w:szCs w:val="20"/>
        </w:rPr>
        <w:t xml:space="preserve">confronto con i responsabili della pubblicazione </w:t>
      </w:r>
      <w:r>
        <w:rPr>
          <w:rFonts w:ascii="Titillium" w:hAnsi="Titillium"/>
          <w:sz w:val="20"/>
          <w:szCs w:val="20"/>
        </w:rPr>
        <w:t>dei dati di cui agli obblighi di pubblicazione ANAC;</w:t>
      </w:r>
    </w:p>
    <w:p w14:paraId="58CC1045" w14:textId="7623F722" w:rsidR="00B15171" w:rsidRPr="00B15171" w:rsidRDefault="00B15171" w:rsidP="00FB337C">
      <w:pPr>
        <w:pStyle w:val="Paragrafoelenco"/>
        <w:numPr>
          <w:ilvl w:val="0"/>
          <w:numId w:val="5"/>
        </w:numPr>
        <w:spacing w:after="0" w:line="240" w:lineRule="auto"/>
        <w:rPr>
          <w:rFonts w:ascii="Titillium" w:hAnsi="Titillium"/>
          <w:sz w:val="20"/>
          <w:szCs w:val="20"/>
        </w:rPr>
      </w:pPr>
      <w:r w:rsidRPr="00B15171">
        <w:rPr>
          <w:rFonts w:ascii="Titillium" w:hAnsi="Titillium"/>
          <w:sz w:val="20"/>
          <w:szCs w:val="20"/>
        </w:rPr>
        <w:t>esame della documentazione e delle banche dati relative ai dati oggetto di attestazione;</w:t>
      </w:r>
    </w:p>
    <w:p w14:paraId="4A6BC5CE" w14:textId="0CAEE495" w:rsidR="00B15171" w:rsidRDefault="00B15171" w:rsidP="00FB337C">
      <w:pPr>
        <w:pStyle w:val="Paragrafoelenco"/>
        <w:numPr>
          <w:ilvl w:val="0"/>
          <w:numId w:val="5"/>
        </w:numPr>
        <w:spacing w:after="0" w:line="240" w:lineRule="auto"/>
        <w:rPr>
          <w:rFonts w:ascii="Titillium" w:hAnsi="Titillium"/>
          <w:sz w:val="20"/>
          <w:szCs w:val="20"/>
        </w:rPr>
      </w:pPr>
      <w:r w:rsidRPr="00B15171">
        <w:rPr>
          <w:rFonts w:ascii="Titillium" w:hAnsi="Titillium"/>
          <w:sz w:val="20"/>
          <w:szCs w:val="20"/>
        </w:rPr>
        <w:t>verifica sul sito istituziona</w:t>
      </w:r>
      <w:r>
        <w:rPr>
          <w:rFonts w:ascii="Titillium" w:hAnsi="Titillium"/>
          <w:sz w:val="20"/>
          <w:szCs w:val="20"/>
        </w:rPr>
        <w:t>le del Comune di Predaia</w:t>
      </w:r>
      <w:r w:rsidRPr="00B15171">
        <w:rPr>
          <w:rFonts w:ascii="Titillium" w:hAnsi="Titillium"/>
          <w:sz w:val="20"/>
          <w:szCs w:val="20"/>
        </w:rPr>
        <w:t xml:space="preserve"> dell’effettiva pubblicazione dei dati oggetto di attestazione.</w:t>
      </w:r>
    </w:p>
    <w:p w14:paraId="53245138" w14:textId="77777777" w:rsidR="00C27B23" w:rsidRPr="0041405A" w:rsidRDefault="00C27B23" w:rsidP="00FB337C">
      <w:pPr>
        <w:spacing w:after="0" w:line="240" w:lineRule="auto"/>
        <w:rPr>
          <w:rFonts w:ascii="Titillium" w:hAnsi="Titillium"/>
          <w:sz w:val="20"/>
          <w:szCs w:val="20"/>
          <w:u w:val="single"/>
        </w:rPr>
      </w:pPr>
    </w:p>
    <w:p w14:paraId="334CC423" w14:textId="77777777" w:rsidR="00C27B23" w:rsidRPr="00DB6DA9" w:rsidRDefault="0048249A" w:rsidP="00DB6DA9">
      <w:pPr>
        <w:pStyle w:val="Paragrafoelenco"/>
        <w:spacing w:after="0" w:line="240" w:lineRule="auto"/>
        <w:ind w:left="0" w:firstLine="0"/>
        <w:rPr>
          <w:rFonts w:ascii="Titillium" w:hAnsi="Titillium"/>
          <w:b/>
          <w:i/>
          <w:sz w:val="22"/>
          <w:szCs w:val="22"/>
        </w:rPr>
      </w:pPr>
      <w:r w:rsidRPr="00DB6DA9">
        <w:rPr>
          <w:rFonts w:ascii="Titillium" w:hAnsi="Titillium"/>
          <w:b/>
          <w:i/>
          <w:sz w:val="22"/>
          <w:szCs w:val="22"/>
        </w:rPr>
        <w:t>Aspetti critici riscontrati nel corso della rilevazione</w:t>
      </w:r>
    </w:p>
    <w:p w14:paraId="39A45135" w14:textId="1D4797E1" w:rsidR="00B15171" w:rsidRDefault="00B15171" w:rsidP="00FB337C">
      <w:pPr>
        <w:spacing w:after="0" w:line="240" w:lineRule="auto"/>
        <w:rPr>
          <w:rFonts w:ascii="Titillium" w:hAnsi="Titillium"/>
          <w:bCs/>
          <w:sz w:val="20"/>
          <w:szCs w:val="20"/>
        </w:rPr>
      </w:pPr>
      <w:bookmarkStart w:id="0" w:name="_Hlk75878850"/>
      <w:r w:rsidRPr="00B15171">
        <w:rPr>
          <w:rFonts w:ascii="Titillium" w:hAnsi="Titillium"/>
          <w:bCs/>
          <w:sz w:val="20"/>
          <w:szCs w:val="20"/>
        </w:rPr>
        <w:t>In via generale si evidenzia come le principali difficoltà riscontrate nella compilazione dell’Allegato 2.1 – Griglia di rilevazione discendono dal fatto che alcuni contenuti degli obblighi oggetto di attestazione risultano non direttamente applicabili in ragione delle specifiche previsioni di cui alla normativa regionale (L.R. 29.10.2014 n 10, come modificata dalla L.R. 15.12.2016 n. 16). Al fine di dar conto di tale specificità, è stato conseguentemente valorizzato il campo “Note” in modo da evidenziare il riferimento normativo vigente a livello regionale con indicazione dei documenti, dati ed informazioni pubblicati in forza dello stesso.</w:t>
      </w:r>
    </w:p>
    <w:bookmarkEnd w:id="0"/>
    <w:p w14:paraId="4C11655E" w14:textId="77777777" w:rsidR="008A0378" w:rsidRPr="0041405A" w:rsidRDefault="008A0378" w:rsidP="00FB337C">
      <w:pPr>
        <w:spacing w:after="0" w:line="240" w:lineRule="auto"/>
        <w:rPr>
          <w:rFonts w:ascii="Titillium" w:hAnsi="Titillium"/>
          <w:b/>
          <w:sz w:val="20"/>
          <w:szCs w:val="20"/>
          <w:u w:val="single"/>
        </w:rPr>
      </w:pPr>
    </w:p>
    <w:p w14:paraId="526A9F0A" w14:textId="0FA0BD63" w:rsidR="00C27B23" w:rsidRPr="00DB6DA9" w:rsidRDefault="0048249A" w:rsidP="00DB6DA9">
      <w:pPr>
        <w:pStyle w:val="Paragrafoelenco"/>
        <w:spacing w:after="0" w:line="240" w:lineRule="auto"/>
        <w:ind w:left="0" w:firstLine="0"/>
        <w:rPr>
          <w:rFonts w:ascii="Titillium" w:hAnsi="Titillium"/>
          <w:b/>
          <w:i/>
          <w:sz w:val="22"/>
          <w:szCs w:val="22"/>
        </w:rPr>
      </w:pPr>
      <w:r w:rsidRPr="00DB6DA9">
        <w:rPr>
          <w:rFonts w:ascii="Titillium" w:hAnsi="Titillium"/>
          <w:b/>
          <w:i/>
          <w:sz w:val="22"/>
          <w:szCs w:val="22"/>
        </w:rPr>
        <w:t>Eventuale documentazione da allegare</w:t>
      </w:r>
    </w:p>
    <w:p w14:paraId="248E379D" w14:textId="62529FBE" w:rsidR="00FB337C" w:rsidRDefault="00FB337C" w:rsidP="00FB337C">
      <w:pPr>
        <w:spacing w:after="0" w:line="240" w:lineRule="auto"/>
        <w:rPr>
          <w:rFonts w:ascii="Titillium" w:hAnsi="Titillium"/>
          <w:bCs/>
          <w:iCs/>
          <w:sz w:val="20"/>
          <w:szCs w:val="20"/>
        </w:rPr>
      </w:pPr>
      <w:r w:rsidRPr="00FB337C">
        <w:rPr>
          <w:rFonts w:ascii="Titillium" w:hAnsi="Titillium"/>
          <w:bCs/>
          <w:iCs/>
          <w:sz w:val="20"/>
          <w:szCs w:val="20"/>
        </w:rPr>
        <w:t>Nessuna</w:t>
      </w:r>
      <w:r>
        <w:rPr>
          <w:rFonts w:ascii="Titillium" w:hAnsi="Titillium"/>
          <w:bCs/>
          <w:iCs/>
          <w:sz w:val="20"/>
          <w:szCs w:val="20"/>
        </w:rPr>
        <w:t>.</w:t>
      </w:r>
    </w:p>
    <w:p w14:paraId="16C72779" w14:textId="3959F091" w:rsidR="00DB6DA9" w:rsidRPr="00DB6DA9" w:rsidRDefault="00DB6DA9" w:rsidP="00DB6DA9">
      <w:pPr>
        <w:rPr>
          <w:rFonts w:ascii="Titillium" w:hAnsi="Titillium"/>
          <w:sz w:val="20"/>
          <w:szCs w:val="20"/>
        </w:rPr>
      </w:pPr>
    </w:p>
    <w:p w14:paraId="2ECB9328" w14:textId="77069AF3" w:rsidR="00DB6DA9" w:rsidRPr="00DB6DA9" w:rsidRDefault="00DB6DA9" w:rsidP="00DB6DA9">
      <w:pPr>
        <w:tabs>
          <w:tab w:val="left" w:pos="1185"/>
        </w:tabs>
        <w:rPr>
          <w:rFonts w:ascii="Titillium" w:hAnsi="Titillium"/>
          <w:sz w:val="20"/>
          <w:szCs w:val="20"/>
        </w:rPr>
      </w:pPr>
    </w:p>
    <w:sectPr w:rsidR="00DB6DA9" w:rsidRPr="00DB6DA9">
      <w:headerReference w:type="default" r:id="rId7"/>
      <w:foot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FFFBC" w14:textId="77777777" w:rsidR="0060106A" w:rsidRDefault="0060106A">
      <w:pPr>
        <w:spacing w:after="0" w:line="240" w:lineRule="auto"/>
      </w:pPr>
      <w:r>
        <w:separator/>
      </w:r>
    </w:p>
  </w:endnote>
  <w:endnote w:type="continuationSeparator" w:id="0">
    <w:p w14:paraId="568F2EEB" w14:textId="77777777" w:rsidR="0060106A" w:rsidRDefault="0060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36FBA" w14:textId="3C8EBA47" w:rsidR="00DB6DA9" w:rsidRPr="00DB6DA9" w:rsidRDefault="00DB6DA9" w:rsidP="00DB6DA9">
    <w:pPr>
      <w:pStyle w:val="Intestazione"/>
      <w:pBdr>
        <w:top w:val="single" w:sz="4" w:space="1" w:color="auto"/>
      </w:pBdr>
      <w:spacing w:before="120" w:line="360" w:lineRule="auto"/>
      <w:contextualSpacing/>
      <w:rPr>
        <w:rFonts w:ascii="Arial" w:eastAsia="SimSun" w:hAnsi="Arial" w:cs="Arial"/>
        <w:color w:val="999999"/>
        <w:sz w:val="16"/>
        <w:szCs w:val="16"/>
      </w:rPr>
    </w:pPr>
    <w:r w:rsidRPr="00DB6DA9"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6FE444E1" wp14:editId="73A92F76">
          <wp:simplePos x="0" y="0"/>
          <wp:positionH relativeFrom="column">
            <wp:posOffset>4804410</wp:posOffset>
          </wp:positionH>
          <wp:positionV relativeFrom="paragraph">
            <wp:posOffset>51435</wp:posOffset>
          </wp:positionV>
          <wp:extent cx="1285240" cy="791845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51F7BC" w14:textId="77777777" w:rsidR="00DB6DA9" w:rsidRPr="00DB6DA9" w:rsidRDefault="00DB6DA9" w:rsidP="00DB6DA9">
    <w:pPr>
      <w:pStyle w:val="Intestazione"/>
      <w:pBdr>
        <w:top w:val="single" w:sz="4" w:space="1" w:color="auto"/>
      </w:pBdr>
      <w:spacing w:before="120" w:line="360" w:lineRule="auto"/>
      <w:contextualSpacing/>
      <w:rPr>
        <w:rFonts w:ascii="Arial" w:eastAsia="SimSun" w:hAnsi="Arial" w:cs="Arial"/>
        <w:color w:val="999999"/>
        <w:sz w:val="16"/>
        <w:szCs w:val="16"/>
      </w:rPr>
    </w:pPr>
    <w:r w:rsidRPr="00DB6DA9">
      <w:rPr>
        <w:rFonts w:ascii="Arial" w:eastAsia="SimSun" w:hAnsi="Arial" w:cs="Arial"/>
        <w:color w:val="999999"/>
        <w:sz w:val="16"/>
        <w:szCs w:val="16"/>
      </w:rPr>
      <w:t xml:space="preserve">Sede uffici: Via Simone Barbacovi, 4 - 38012 Frazione Taio </w:t>
    </w:r>
  </w:p>
  <w:p w14:paraId="6E998D82" w14:textId="77777777" w:rsidR="00DB6DA9" w:rsidRPr="00DB6DA9" w:rsidRDefault="00DB6DA9" w:rsidP="00DB6DA9">
    <w:pPr>
      <w:pStyle w:val="Intestazione"/>
      <w:pBdr>
        <w:top w:val="single" w:sz="4" w:space="1" w:color="auto"/>
      </w:pBdr>
      <w:spacing w:before="120" w:line="360" w:lineRule="auto"/>
      <w:contextualSpacing/>
      <w:rPr>
        <w:rFonts w:ascii="Arial" w:eastAsia="SimSun" w:hAnsi="Arial" w:cs="Arial"/>
        <w:color w:val="999999"/>
        <w:sz w:val="16"/>
        <w:szCs w:val="16"/>
      </w:rPr>
    </w:pPr>
    <w:r w:rsidRPr="00DB6DA9">
      <w:rPr>
        <w:rFonts w:ascii="Arial" w:eastAsia="SimSun" w:hAnsi="Arial" w:cs="Arial"/>
        <w:color w:val="999999"/>
        <w:sz w:val="16"/>
        <w:szCs w:val="16"/>
      </w:rPr>
      <w:t>Tel. 0463-468114 – Fax 0463-468521 Cod.Fisc.e P. IVA 02354850220</w:t>
    </w:r>
  </w:p>
  <w:p w14:paraId="13D6A67F" w14:textId="77777777" w:rsidR="00DB6DA9" w:rsidRPr="00DB6DA9" w:rsidRDefault="00DB6DA9" w:rsidP="00DB6DA9">
    <w:pPr>
      <w:pStyle w:val="Intestazione"/>
      <w:spacing w:line="360" w:lineRule="auto"/>
      <w:contextualSpacing/>
      <w:rPr>
        <w:rFonts w:ascii="Arial" w:hAnsi="Arial" w:cs="Arial"/>
        <w:sz w:val="16"/>
        <w:szCs w:val="16"/>
      </w:rPr>
    </w:pPr>
    <w:r w:rsidRPr="00DB6DA9">
      <w:rPr>
        <w:rFonts w:ascii="Arial" w:eastAsia="SimSun" w:hAnsi="Arial" w:cs="Arial"/>
        <w:color w:val="999999"/>
        <w:sz w:val="16"/>
        <w:szCs w:val="16"/>
      </w:rPr>
      <w:t xml:space="preserve">e-mail </w:t>
    </w:r>
    <w:hyperlink r:id="rId2" w:history="1">
      <w:r w:rsidRPr="00DB6DA9">
        <w:rPr>
          <w:rFonts w:ascii="Arial" w:eastAsia="SimSun" w:hAnsi="Arial" w:cs="Arial"/>
          <w:color w:val="999999"/>
          <w:sz w:val="16"/>
          <w:szCs w:val="16"/>
          <w:u w:val="single"/>
        </w:rPr>
        <w:t>comune@comune.predaia.tn.it</w:t>
      </w:r>
    </w:hyperlink>
    <w:r w:rsidRPr="00DB6DA9">
      <w:rPr>
        <w:rFonts w:ascii="Arial" w:eastAsia="SimSun" w:hAnsi="Arial" w:cs="Arial"/>
        <w:color w:val="999999"/>
        <w:sz w:val="16"/>
        <w:szCs w:val="16"/>
      </w:rPr>
      <w:t xml:space="preserve"> – pec: </w:t>
    </w:r>
    <w:hyperlink r:id="rId3" w:history="1">
      <w:r w:rsidRPr="00DB6DA9">
        <w:rPr>
          <w:rStyle w:val="Collegamentoipertestuale"/>
          <w:rFonts w:ascii="Arial" w:eastAsia="SimSun" w:hAnsi="Arial" w:cs="Arial"/>
          <w:color w:val="999999"/>
          <w:sz w:val="16"/>
          <w:szCs w:val="16"/>
        </w:rPr>
        <w:t>comune@pec.comune.predaia.tn.it</w:t>
      </w:r>
    </w:hyperlink>
  </w:p>
  <w:p w14:paraId="2CBE09C4" w14:textId="77777777" w:rsidR="00DB6DA9" w:rsidRPr="00DB6DA9" w:rsidRDefault="00DB6DA9" w:rsidP="00DB6DA9">
    <w:pPr>
      <w:pStyle w:val="Pidipagina"/>
      <w:rPr>
        <w:rFonts w:ascii="Arial" w:hAnsi="Arial" w:cs="Arial"/>
      </w:rPr>
    </w:pPr>
  </w:p>
  <w:p w14:paraId="6C9A5018" w14:textId="77777777" w:rsidR="00DB6DA9" w:rsidRPr="00DB6DA9" w:rsidRDefault="00DB6DA9">
    <w:pPr>
      <w:pStyle w:val="Pidipa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41EF1" w14:textId="77777777" w:rsidR="0060106A" w:rsidRDefault="0060106A">
      <w:pPr>
        <w:spacing w:after="0" w:line="240" w:lineRule="auto"/>
      </w:pPr>
      <w:r>
        <w:separator/>
      </w:r>
    </w:p>
  </w:footnote>
  <w:footnote w:type="continuationSeparator" w:id="0">
    <w:p w14:paraId="76CEE344" w14:textId="77777777" w:rsidR="0060106A" w:rsidRDefault="0060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7513" w14:textId="72A666A4" w:rsidR="00B15171" w:rsidRPr="00836811" w:rsidRDefault="00B15171" w:rsidP="00B15171">
    <w:pPr>
      <w:rPr>
        <w:rFonts w:ascii="Arial" w:hAnsi="Arial" w:cs="Arial"/>
        <w:spacing w:val="1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59CC38F" wp14:editId="5A4D92BC">
          <wp:simplePos x="0" y="0"/>
          <wp:positionH relativeFrom="column">
            <wp:posOffset>0</wp:posOffset>
          </wp:positionH>
          <wp:positionV relativeFrom="page">
            <wp:posOffset>358775</wp:posOffset>
          </wp:positionV>
          <wp:extent cx="1069340" cy="109410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782367" w14:textId="77777777" w:rsidR="00B15171" w:rsidRPr="00836811" w:rsidRDefault="00B15171" w:rsidP="00B15171">
    <w:pPr>
      <w:tabs>
        <w:tab w:val="center" w:pos="5387"/>
      </w:tabs>
      <w:rPr>
        <w:rFonts w:ascii="Arial" w:hAnsi="Arial" w:cs="Arial"/>
        <w:b/>
        <w:spacing w:val="120"/>
        <w:sz w:val="32"/>
        <w:szCs w:val="32"/>
      </w:rPr>
    </w:pPr>
    <w:r>
      <w:rPr>
        <w:rFonts w:ascii="Arial" w:hAnsi="Arial" w:cs="Arial"/>
        <w:b/>
        <w:spacing w:val="120"/>
        <w:sz w:val="32"/>
        <w:szCs w:val="32"/>
      </w:rPr>
      <w:tab/>
    </w:r>
    <w:r w:rsidRPr="00836811">
      <w:rPr>
        <w:rFonts w:ascii="Arial" w:hAnsi="Arial" w:cs="Arial"/>
        <w:b/>
        <w:spacing w:val="120"/>
        <w:sz w:val="32"/>
        <w:szCs w:val="32"/>
      </w:rPr>
      <w:t>COMUNE DI PREDAIA</w:t>
    </w:r>
  </w:p>
  <w:p w14:paraId="3FF32DE3" w14:textId="77777777" w:rsidR="00B15171" w:rsidRPr="00836811" w:rsidRDefault="00B15171" w:rsidP="00B15171">
    <w:pPr>
      <w:tabs>
        <w:tab w:val="center" w:pos="5387"/>
      </w:tabs>
      <w:rPr>
        <w:rFonts w:ascii="Arial" w:hAnsi="Arial" w:cs="Arial"/>
        <w:spacing w:val="30"/>
      </w:rPr>
    </w:pPr>
    <w:r>
      <w:rPr>
        <w:rFonts w:ascii="Arial" w:hAnsi="Arial" w:cs="Arial"/>
        <w:spacing w:val="30"/>
      </w:rPr>
      <w:tab/>
    </w:r>
    <w:r w:rsidRPr="00836811">
      <w:rPr>
        <w:rFonts w:ascii="Arial" w:hAnsi="Arial" w:cs="Arial"/>
        <w:spacing w:val="30"/>
      </w:rPr>
      <w:t>Provincia di Trento</w:t>
    </w:r>
  </w:p>
  <w:p w14:paraId="4390621C" w14:textId="77777777" w:rsidR="00B15171" w:rsidRDefault="00B15171" w:rsidP="00B15171">
    <w:pPr>
      <w:rPr>
        <w:rFonts w:ascii="Arial" w:hAnsi="Arial" w:cs="Arial"/>
      </w:rPr>
    </w:pPr>
  </w:p>
  <w:p w14:paraId="15109887" w14:textId="3B0C71F8" w:rsidR="00B15171" w:rsidRPr="001A34A5" w:rsidRDefault="00FB337C" w:rsidP="00B15171">
    <w:pPr>
      <w:ind w:left="-284" w:right="-284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A0701A4" wp14:editId="4615528B">
              <wp:simplePos x="0" y="0"/>
              <wp:positionH relativeFrom="column">
                <wp:posOffset>-180340</wp:posOffset>
              </wp:positionH>
              <wp:positionV relativeFrom="paragraph">
                <wp:posOffset>125729</wp:posOffset>
              </wp:positionV>
              <wp:extent cx="6480175" cy="0"/>
              <wp:effectExtent l="0" t="0" r="0" b="0"/>
              <wp:wrapNone/>
              <wp:docPr id="2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1B5006" id="Connettore 1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4.2pt,9.9pt" to="496.0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" strokecolor="windowText">
              <o:lock v:ext="edit" shapetype="f"/>
            </v:line>
          </w:pict>
        </mc:Fallback>
      </mc:AlternateContent>
    </w:r>
  </w:p>
  <w:p w14:paraId="0DE748F5" w14:textId="77777777" w:rsidR="00DB6DA9" w:rsidRDefault="00DB6DA9" w:rsidP="00DB6DA9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>
      <w:rPr>
        <w:rFonts w:ascii="Titillium" w:hAnsi="Titillium"/>
        <w:b/>
        <w:sz w:val="20"/>
        <w:szCs w:val="20"/>
      </w:rPr>
      <w:t xml:space="preserve">Allegato 3 alla </w:t>
    </w:r>
    <w:r>
      <w:rPr>
        <w:rFonts w:ascii="Titillium" w:hAnsi="Titillium" w:cs="Times New Roman"/>
        <w:b/>
        <w:sz w:val="20"/>
        <w:szCs w:val="20"/>
      </w:rPr>
      <w:t>delibera ANAC n. 201/2022</w:t>
    </w:r>
  </w:p>
  <w:p w14:paraId="1F3433C7" w14:textId="77777777" w:rsidR="00FB337C" w:rsidRPr="00B15171" w:rsidRDefault="00FB337C" w:rsidP="00B15171">
    <w:pPr>
      <w:pStyle w:val="Intestazione"/>
      <w:tabs>
        <w:tab w:val="left" w:pos="3878"/>
      </w:tabs>
      <w:jc w:val="right"/>
      <w:rPr>
        <w:rFonts w:ascii="Titillium" w:hAnsi="Titillium" w:cs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4E03CF4"/>
    <w:multiLevelType w:val="hybridMultilevel"/>
    <w:tmpl w:val="1534C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81BA1"/>
    <w:multiLevelType w:val="multilevel"/>
    <w:tmpl w:val="88E2E470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132297">
    <w:abstractNumId w:val="2"/>
  </w:num>
  <w:num w:numId="2" w16cid:durableId="430784170">
    <w:abstractNumId w:val="0"/>
  </w:num>
  <w:num w:numId="3" w16cid:durableId="1998073103">
    <w:abstractNumId w:val="3"/>
  </w:num>
  <w:num w:numId="4" w16cid:durableId="1988363652">
    <w:abstractNumId w:val="4"/>
  </w:num>
  <w:num w:numId="5" w16cid:durableId="1383942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3"/>
    <w:rsid w:val="00040F20"/>
    <w:rsid w:val="0005039A"/>
    <w:rsid w:val="000F2C0E"/>
    <w:rsid w:val="00135C6A"/>
    <w:rsid w:val="0016468A"/>
    <w:rsid w:val="002244B3"/>
    <w:rsid w:val="0024134D"/>
    <w:rsid w:val="002C572E"/>
    <w:rsid w:val="003E1CF5"/>
    <w:rsid w:val="0041405A"/>
    <w:rsid w:val="00416AD0"/>
    <w:rsid w:val="0048249A"/>
    <w:rsid w:val="004833D5"/>
    <w:rsid w:val="004F18CD"/>
    <w:rsid w:val="0060106A"/>
    <w:rsid w:val="006E496C"/>
    <w:rsid w:val="007052EA"/>
    <w:rsid w:val="00713BFD"/>
    <w:rsid w:val="007A107C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F790D"/>
    <w:rsid w:val="00B15171"/>
    <w:rsid w:val="00C27B23"/>
    <w:rsid w:val="00C32BE7"/>
    <w:rsid w:val="00D27496"/>
    <w:rsid w:val="00DB6DA9"/>
    <w:rsid w:val="00F54EDA"/>
    <w:rsid w:val="00FB337C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D29D8B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uiPriority w:val="99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rsid w:val="00DB6DA9"/>
    <w:pPr>
      <w:pageBreakBefore/>
      <w:numPr>
        <w:numId w:val="1"/>
      </w:numPr>
      <w:spacing w:after="0" w:line="240" w:lineRule="auto"/>
      <w:jc w:val="center"/>
      <w:outlineLvl w:val="0"/>
    </w:pPr>
    <w:rPr>
      <w:rFonts w:ascii="Titillium" w:hAnsi="Titillium" w:cs="Times New Roman"/>
      <w:b/>
      <w:bCs/>
      <w:i/>
      <w:sz w:val="28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DB6DA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@pec.comune.predaia.tn.it" TargetMode="External"/><Relationship Id="rId2" Type="http://schemas.openxmlformats.org/officeDocument/2006/relationships/hyperlink" Target="mailto:ragioneria@comune.predaia.tn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Arianna Pedri</cp:lastModifiedBy>
  <cp:revision>3</cp:revision>
  <cp:lastPrinted>2018-02-28T15:30:00Z</cp:lastPrinted>
  <dcterms:created xsi:type="dcterms:W3CDTF">2022-06-30T10:48:00Z</dcterms:created>
  <dcterms:modified xsi:type="dcterms:W3CDTF">2022-06-30T10:51:00Z</dcterms:modified>
</cp:coreProperties>
</file>